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0" w:rsidRPr="00A97D20" w:rsidRDefault="00AD5975" w:rsidP="00A9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4B6" w:rsidRPr="00DD54B6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DD54B6" w:rsidRPr="00A97D2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A97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97D20" w:rsidRPr="00A97D20">
        <w:rPr>
          <w:rFonts w:ascii="Times New Roman" w:hAnsi="Times New Roman" w:cs="Times New Roman"/>
          <w:sz w:val="28"/>
          <w:szCs w:val="28"/>
        </w:rPr>
        <w:t>Поддержка усилий администраций сельских поселений Увельского муниципального района по обеспечению сбалансированности</w:t>
      </w:r>
      <w:r w:rsidR="00F324C8">
        <w:rPr>
          <w:rFonts w:ascii="Times New Roman" w:hAnsi="Times New Roman" w:cs="Times New Roman"/>
          <w:sz w:val="28"/>
          <w:szCs w:val="28"/>
        </w:rPr>
        <w:t xml:space="preserve"> </w:t>
      </w:r>
      <w:r w:rsidR="00A97D20" w:rsidRPr="00A97D20">
        <w:rPr>
          <w:rFonts w:ascii="Times New Roman" w:hAnsi="Times New Roman" w:cs="Times New Roman"/>
          <w:sz w:val="28"/>
          <w:szCs w:val="28"/>
        </w:rPr>
        <w:t>бюджетов»</w:t>
      </w:r>
    </w:p>
    <w:p w:rsidR="00E53AB4" w:rsidRDefault="00E53AB4" w:rsidP="00E5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5" w:rsidRDefault="00AD5975" w:rsidP="00AD597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период</w:t>
      </w:r>
    </w:p>
    <w:p w:rsidR="00AD5975" w:rsidRDefault="00AD5975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D5975" w:rsidRDefault="00AD5975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допустить возникновение кредиторской задолженности по заработной плате работникам учреждений</w:t>
      </w:r>
      <w:r w:rsidR="00492574">
        <w:rPr>
          <w:rFonts w:ascii="Times New Roman" w:hAnsi="Times New Roman" w:cs="Times New Roman"/>
          <w:sz w:val="28"/>
          <w:szCs w:val="28"/>
        </w:rPr>
        <w:t xml:space="preserve"> бюджетной сферы сельских поселений Увельского муниципального района;</w:t>
      </w:r>
    </w:p>
    <w:p w:rsidR="00492574" w:rsidRDefault="00492574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-поддержать органы местного самоуправления муниципальных образований Увельского муниципального района при осуществлении ими своих полномочий по вопросам местного значения.</w:t>
      </w:r>
    </w:p>
    <w:p w:rsidR="00492574" w:rsidRDefault="00492574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поддержки усилиям органов местного самоуправления сельских поселений по обеспечению сбалансированности бюджетов создан фонд, объем которого определен Решением Собрания депутатов Увельского муниципального района от </w:t>
      </w:r>
      <w:r w:rsidR="00346093">
        <w:rPr>
          <w:rFonts w:ascii="Times New Roman" w:hAnsi="Times New Roman" w:cs="Times New Roman"/>
          <w:sz w:val="28"/>
          <w:szCs w:val="28"/>
        </w:rPr>
        <w:t>1</w:t>
      </w:r>
      <w:r w:rsidR="002D070C">
        <w:rPr>
          <w:rFonts w:ascii="Times New Roman" w:hAnsi="Times New Roman" w:cs="Times New Roman"/>
          <w:sz w:val="28"/>
          <w:szCs w:val="28"/>
        </w:rPr>
        <w:t>3</w:t>
      </w:r>
      <w:r w:rsidR="00F3339E">
        <w:rPr>
          <w:rFonts w:ascii="Times New Roman" w:hAnsi="Times New Roman" w:cs="Times New Roman"/>
          <w:sz w:val="28"/>
          <w:szCs w:val="28"/>
        </w:rPr>
        <w:t xml:space="preserve"> </w:t>
      </w:r>
      <w:r w:rsidR="001138DF">
        <w:rPr>
          <w:rFonts w:ascii="Times New Roman" w:hAnsi="Times New Roman" w:cs="Times New Roman"/>
          <w:sz w:val="28"/>
          <w:szCs w:val="28"/>
        </w:rPr>
        <w:t>декабря 201</w:t>
      </w:r>
      <w:r w:rsidR="004B0C64">
        <w:rPr>
          <w:rFonts w:ascii="Times New Roman" w:hAnsi="Times New Roman" w:cs="Times New Roman"/>
          <w:sz w:val="28"/>
          <w:szCs w:val="28"/>
        </w:rPr>
        <w:t>8</w:t>
      </w:r>
      <w:r w:rsidR="001138D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6093">
        <w:rPr>
          <w:rFonts w:ascii="Times New Roman" w:hAnsi="Times New Roman" w:cs="Times New Roman"/>
          <w:sz w:val="28"/>
          <w:szCs w:val="28"/>
        </w:rPr>
        <w:t xml:space="preserve"> </w:t>
      </w:r>
      <w:r w:rsidR="002D070C">
        <w:rPr>
          <w:rFonts w:ascii="Times New Roman" w:hAnsi="Times New Roman" w:cs="Times New Roman"/>
          <w:sz w:val="28"/>
          <w:szCs w:val="28"/>
        </w:rPr>
        <w:t>69</w:t>
      </w:r>
      <w:r w:rsidR="0011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 на 201</w:t>
      </w:r>
      <w:r w:rsidR="002D07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339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D070C">
        <w:rPr>
          <w:rFonts w:ascii="Times New Roman" w:hAnsi="Times New Roman" w:cs="Times New Roman"/>
          <w:sz w:val="28"/>
          <w:szCs w:val="28"/>
        </w:rPr>
        <w:t>20</w:t>
      </w:r>
      <w:r w:rsidR="00F3339E">
        <w:rPr>
          <w:rFonts w:ascii="Times New Roman" w:hAnsi="Times New Roman" w:cs="Times New Roman"/>
          <w:sz w:val="28"/>
          <w:szCs w:val="28"/>
        </w:rPr>
        <w:t xml:space="preserve"> и 202</w:t>
      </w:r>
      <w:r w:rsidR="002D070C">
        <w:rPr>
          <w:rFonts w:ascii="Times New Roman" w:hAnsi="Times New Roman" w:cs="Times New Roman"/>
          <w:sz w:val="28"/>
          <w:szCs w:val="28"/>
        </w:rPr>
        <w:t>1</w:t>
      </w:r>
      <w:r w:rsidR="00F3339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2574" w:rsidRDefault="00492574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фонда расходуются в первоочередном порядке на заработную плату, коммунальные услуги </w:t>
      </w:r>
      <w:r w:rsidR="001138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оплату по налоговым обязательствам. </w:t>
      </w:r>
    </w:p>
    <w:p w:rsidR="001138DF" w:rsidRDefault="001138DF" w:rsidP="00AD59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8DF" w:rsidRDefault="001138DF" w:rsidP="000241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4B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программы.</w:t>
      </w:r>
    </w:p>
    <w:p w:rsidR="0002414B" w:rsidRPr="0002414B" w:rsidRDefault="0002414B" w:rsidP="0002414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DF" w:rsidRDefault="001138DF" w:rsidP="0002414B">
      <w:pPr>
        <w:pStyle w:val="a4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объем расходов на реализацию данной программы на 201</w:t>
      </w:r>
      <w:r w:rsidR="002D07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составлял </w:t>
      </w:r>
      <w:r w:rsidR="002D070C">
        <w:rPr>
          <w:rFonts w:ascii="Times New Roman" w:hAnsi="Times New Roman" w:cs="Times New Roman"/>
          <w:sz w:val="28"/>
          <w:szCs w:val="28"/>
        </w:rPr>
        <w:t>76726,5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07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путем внесени</w:t>
      </w:r>
      <w:r w:rsidR="005C1CD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="005C1C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ений Решение Собрания депутатов о бюджете на текущий год и плановый период в данную программу были внесены изме</w:t>
      </w:r>
      <w:r w:rsidR="005C1C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ения, и сумма составила </w:t>
      </w:r>
      <w:r w:rsidR="002D070C">
        <w:rPr>
          <w:rFonts w:ascii="Times New Roman" w:hAnsi="Times New Roman" w:cs="Times New Roman"/>
          <w:sz w:val="28"/>
          <w:szCs w:val="28"/>
        </w:rPr>
        <w:t>99780,8</w:t>
      </w:r>
      <w:r w:rsidR="005C1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CD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C1CD9">
        <w:rPr>
          <w:rFonts w:ascii="Times New Roman" w:hAnsi="Times New Roman" w:cs="Times New Roman"/>
          <w:sz w:val="28"/>
          <w:szCs w:val="28"/>
        </w:rPr>
        <w:t>. Вся сумма была направлена в течени</w:t>
      </w:r>
      <w:proofErr w:type="gramStart"/>
      <w:r w:rsidR="005C1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1CD9">
        <w:rPr>
          <w:rFonts w:ascii="Times New Roman" w:hAnsi="Times New Roman" w:cs="Times New Roman"/>
          <w:sz w:val="28"/>
          <w:szCs w:val="28"/>
        </w:rPr>
        <w:t xml:space="preserve"> 201</w:t>
      </w:r>
      <w:r w:rsidR="002D070C">
        <w:rPr>
          <w:rFonts w:ascii="Times New Roman" w:hAnsi="Times New Roman" w:cs="Times New Roman"/>
          <w:sz w:val="28"/>
          <w:szCs w:val="28"/>
        </w:rPr>
        <w:t>9</w:t>
      </w:r>
      <w:r w:rsidR="005C1CD9">
        <w:rPr>
          <w:rFonts w:ascii="Times New Roman" w:hAnsi="Times New Roman" w:cs="Times New Roman"/>
          <w:sz w:val="28"/>
          <w:szCs w:val="28"/>
        </w:rPr>
        <w:t xml:space="preserve"> года сельским поселениям Увельского муниципального района.</w:t>
      </w:r>
    </w:p>
    <w:p w:rsidR="00481A79" w:rsidRDefault="00481A79" w:rsidP="00481A79">
      <w:pPr>
        <w:pStyle w:val="a4"/>
        <w:spacing w:line="240" w:lineRule="auto"/>
        <w:ind w:left="425" w:firstLine="2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ассигнований на реализацию</w:t>
      </w:r>
    </w:p>
    <w:p w:rsidR="00481A79" w:rsidRDefault="00481A79" w:rsidP="00481A79">
      <w:pPr>
        <w:pStyle w:val="a4"/>
        <w:spacing w:line="240" w:lineRule="auto"/>
        <w:ind w:left="425" w:firstLine="2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Style w:val="a3"/>
        <w:tblW w:w="9293" w:type="dxa"/>
        <w:tblInd w:w="425" w:type="dxa"/>
        <w:tblLook w:val="04A0" w:firstRow="1" w:lastRow="0" w:firstColumn="1" w:lastColumn="0" w:noHBand="0" w:noVBand="1"/>
      </w:tblPr>
      <w:tblGrid>
        <w:gridCol w:w="579"/>
        <w:gridCol w:w="2932"/>
        <w:gridCol w:w="1842"/>
        <w:gridCol w:w="2070"/>
        <w:gridCol w:w="1870"/>
      </w:tblGrid>
      <w:tr w:rsidR="00481A79" w:rsidTr="00F16FB6">
        <w:trPr>
          <w:trHeight w:val="261"/>
        </w:trPr>
        <w:tc>
          <w:tcPr>
            <w:tcW w:w="579" w:type="dxa"/>
            <w:vMerge w:val="restart"/>
          </w:tcPr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Pr="00865CE1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65CE1">
              <w:rPr>
                <w:rFonts w:ascii="Times New Roman" w:hAnsi="Times New Roman" w:cs="Times New Roman"/>
              </w:rPr>
              <w:t>п</w:t>
            </w:r>
            <w:proofErr w:type="gramEnd"/>
            <w:r w:rsidRPr="00865C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2" w:type="dxa"/>
            <w:vMerge w:val="restart"/>
          </w:tcPr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A79" w:rsidRPr="00865CE1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782" w:type="dxa"/>
            <w:gridSpan w:val="3"/>
          </w:tcPr>
          <w:p w:rsidR="00481A79" w:rsidRPr="00865CE1" w:rsidRDefault="00481A79" w:rsidP="00F16FB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>Расходы бюджета</w:t>
            </w:r>
            <w:r w:rsidR="00E41F42">
              <w:rPr>
                <w:rFonts w:ascii="Times New Roman" w:hAnsi="Times New Roman" w:cs="Times New Roman"/>
              </w:rPr>
              <w:t>, тыс</w:t>
            </w:r>
            <w:proofErr w:type="gramStart"/>
            <w:r w:rsidR="00E41F42">
              <w:rPr>
                <w:rFonts w:ascii="Times New Roman" w:hAnsi="Times New Roman" w:cs="Times New Roman"/>
              </w:rPr>
              <w:t>.р</w:t>
            </w:r>
            <w:proofErr w:type="gramEnd"/>
            <w:r w:rsidR="00E41F42">
              <w:rPr>
                <w:rFonts w:ascii="Times New Roman" w:hAnsi="Times New Roman" w:cs="Times New Roman"/>
              </w:rPr>
              <w:t>ублей</w:t>
            </w:r>
          </w:p>
        </w:tc>
      </w:tr>
      <w:tr w:rsidR="008903B9" w:rsidTr="00F16FB6">
        <w:trPr>
          <w:trHeight w:val="562"/>
        </w:trPr>
        <w:tc>
          <w:tcPr>
            <w:tcW w:w="579" w:type="dxa"/>
            <w:vMerge/>
          </w:tcPr>
          <w:p w:rsidR="008903B9" w:rsidRPr="00865CE1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8903B9" w:rsidRPr="00865CE1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2"/>
          </w:tcPr>
          <w:p w:rsidR="008903B9" w:rsidRPr="00865CE1" w:rsidRDefault="008903B9" w:rsidP="00F16FB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>план (сводная бюджетная роспись)</w:t>
            </w:r>
          </w:p>
        </w:tc>
        <w:tc>
          <w:tcPr>
            <w:tcW w:w="1870" w:type="dxa"/>
            <w:vMerge w:val="restart"/>
          </w:tcPr>
          <w:p w:rsidR="008903B9" w:rsidRPr="00865CE1" w:rsidRDefault="008903B9" w:rsidP="002D07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>кассовое исполнение на 31.12.201</w:t>
            </w:r>
            <w:r>
              <w:rPr>
                <w:rFonts w:ascii="Times New Roman" w:hAnsi="Times New Roman" w:cs="Times New Roman"/>
              </w:rPr>
              <w:t>9</w:t>
            </w:r>
            <w:r w:rsidRPr="00865CE1">
              <w:rPr>
                <w:rFonts w:ascii="Times New Roman" w:hAnsi="Times New Roman" w:cs="Times New Roman"/>
              </w:rPr>
              <w:t>г</w:t>
            </w:r>
          </w:p>
        </w:tc>
      </w:tr>
      <w:tr w:rsidR="008903B9" w:rsidTr="00F16FB6">
        <w:tc>
          <w:tcPr>
            <w:tcW w:w="579" w:type="dxa"/>
            <w:vMerge/>
          </w:tcPr>
          <w:p w:rsidR="008903B9" w:rsidRPr="00865CE1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8903B9" w:rsidRPr="00865CE1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3B9" w:rsidRPr="00865CE1" w:rsidRDefault="008903B9" w:rsidP="00F16FB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5CE1">
              <w:rPr>
                <w:rFonts w:ascii="Times New Roman" w:hAnsi="Times New Roman" w:cs="Times New Roman"/>
              </w:rPr>
              <w:t>на 1 января  отчетного года</w:t>
            </w:r>
            <w:r>
              <w:rPr>
                <w:rFonts w:ascii="Times New Roman" w:hAnsi="Times New Roman" w:cs="Times New Roman"/>
              </w:rPr>
              <w:t xml:space="preserve"> (первоначально)</w:t>
            </w:r>
          </w:p>
        </w:tc>
        <w:tc>
          <w:tcPr>
            <w:tcW w:w="2070" w:type="dxa"/>
          </w:tcPr>
          <w:p w:rsidR="008903B9" w:rsidRPr="00865CE1" w:rsidRDefault="008903B9" w:rsidP="002D07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31.12.2019 года (</w:t>
            </w:r>
            <w:r w:rsidRPr="00865CE1"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  <w:vMerge/>
          </w:tcPr>
          <w:p w:rsidR="008903B9" w:rsidRPr="00865CE1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A79" w:rsidTr="00F16FB6">
        <w:tc>
          <w:tcPr>
            <w:tcW w:w="579" w:type="dxa"/>
          </w:tcPr>
          <w:p w:rsidR="00481A79" w:rsidRPr="00865CE1" w:rsidRDefault="00481A7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2" w:type="dxa"/>
          </w:tcPr>
          <w:p w:rsidR="00481A79" w:rsidRPr="00865CE1" w:rsidRDefault="00481A79" w:rsidP="002D070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усилий администраций сельских поселений Увельского муниципального района по обеспечению сбалансированности бюджетов на 201</w:t>
            </w:r>
            <w:r w:rsidR="002D07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</w:tcPr>
          <w:p w:rsidR="00481A79" w:rsidRPr="00F3339E" w:rsidRDefault="002D070C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76726,5</w:t>
            </w:r>
          </w:p>
        </w:tc>
        <w:tc>
          <w:tcPr>
            <w:tcW w:w="2070" w:type="dxa"/>
          </w:tcPr>
          <w:p w:rsidR="00481A79" w:rsidRPr="00F3339E" w:rsidRDefault="002D070C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99780,8</w:t>
            </w:r>
          </w:p>
        </w:tc>
        <w:tc>
          <w:tcPr>
            <w:tcW w:w="1870" w:type="dxa"/>
          </w:tcPr>
          <w:p w:rsidR="00481A79" w:rsidRPr="003367E5" w:rsidRDefault="008903B9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98280,8</w:t>
            </w:r>
          </w:p>
          <w:p w:rsidR="003367E5" w:rsidRPr="00D108C3" w:rsidRDefault="003367E5" w:rsidP="00F16FB6">
            <w:pPr>
              <w:pStyle w:val="a4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81A79" w:rsidRDefault="00481A79" w:rsidP="0002414B">
      <w:pPr>
        <w:pStyle w:val="a4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414B" w:rsidRDefault="0002414B" w:rsidP="0002414B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целевым индикативам показателям ожидаемых результатов мероприятий программы</w:t>
      </w:r>
    </w:p>
    <w:p w:rsidR="00481A79" w:rsidRDefault="00481A79" w:rsidP="00481A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r w:rsidR="00830814">
        <w:rPr>
          <w:rFonts w:ascii="Times New Roman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поставленных целей</w:t>
      </w:r>
      <w:r w:rsidR="00830814">
        <w:rPr>
          <w:rFonts w:ascii="Times New Roman" w:hAnsi="Times New Roman" w:cs="Times New Roman"/>
          <w:sz w:val="28"/>
          <w:szCs w:val="28"/>
        </w:rPr>
        <w:t>, а именно:</w:t>
      </w:r>
    </w:p>
    <w:p w:rsidR="00830814" w:rsidRDefault="00830814" w:rsidP="00830814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1)ежемесячно осуществлялся  мониторинг местных бюджетов сельских </w:t>
      </w:r>
    </w:p>
    <w:p w:rsidR="00830814" w:rsidRDefault="00830814" w:rsidP="00830814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поселений;</w:t>
      </w:r>
    </w:p>
    <w:p w:rsidR="00830814" w:rsidRDefault="00830814" w:rsidP="00830814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2)проводился анализ основных показателей местных бюджетов;</w:t>
      </w:r>
    </w:p>
    <w:p w:rsidR="00830814" w:rsidRDefault="00830814" w:rsidP="00830814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3)распределялась и предоставлялась дотация на обеспечение сбалансированности бюджетам поселений </w:t>
      </w:r>
    </w:p>
    <w:p w:rsidR="0002414B" w:rsidRDefault="0002414B" w:rsidP="0002414B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 Программы:</w:t>
      </w:r>
    </w:p>
    <w:p w:rsidR="0002414B" w:rsidRDefault="0002414B" w:rsidP="0002414B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-Просроченная кредиторская задолженность по выплате заработной платы работникам муниципальных бюджетных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(Показатель 1);</w:t>
      </w:r>
    </w:p>
    <w:p w:rsidR="0002414B" w:rsidRDefault="0002414B" w:rsidP="0002414B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-просроченная кредиторская задолженность по другим направлениям расходо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(Показатель 1).</w:t>
      </w:r>
    </w:p>
    <w:p w:rsidR="0002414B" w:rsidRDefault="0002414B" w:rsidP="0002414B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2414B" w:rsidRDefault="0002414B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4.Оценка влияния фактических результатов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414B" w:rsidRDefault="0002414B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сферы экономики Увельского муниципального   </w:t>
      </w:r>
    </w:p>
    <w:p w:rsidR="0002414B" w:rsidRDefault="0002414B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414B" w:rsidRDefault="0002414B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</w:p>
    <w:p w:rsidR="0002414B" w:rsidRDefault="0002414B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из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усилий органов местного самоуправления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сельским поселениям Увельского муниципального района в случаях необходимости оказания дополнительной поддержки органам местного самоуправления  при осуществлении ими своих полномочий по решению вопросов местного значения. Данный вид финансовой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направляется сельским поселениям на первоочередные  вопросы, такие как выплата заработной платы, коммунальные платежи, благоустройство</w:t>
      </w:r>
      <w:r w:rsidR="00A3722F">
        <w:rPr>
          <w:rFonts w:ascii="Times New Roman" w:hAnsi="Times New Roman" w:cs="Times New Roman"/>
          <w:sz w:val="28"/>
          <w:szCs w:val="28"/>
        </w:rPr>
        <w:t>.</w:t>
      </w:r>
    </w:p>
    <w:p w:rsidR="00A3722F" w:rsidRDefault="00A3722F" w:rsidP="0002414B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</w:p>
    <w:p w:rsidR="00234D39" w:rsidRDefault="00A3722F" w:rsidP="00481A79">
      <w:pPr>
        <w:pStyle w:val="a4"/>
        <w:spacing w:line="240" w:lineRule="auto"/>
        <w:ind w:left="42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4D3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676"/>
        <w:gridCol w:w="1926"/>
        <w:gridCol w:w="1899"/>
        <w:gridCol w:w="1445"/>
      </w:tblGrid>
      <w:tr w:rsidR="00907F3E" w:rsidRPr="00510876" w:rsidTr="00510876">
        <w:tc>
          <w:tcPr>
            <w:tcW w:w="594" w:type="dxa"/>
            <w:vMerge w:val="restart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9" w:type="dxa"/>
            <w:vMerge w:val="restart"/>
          </w:tcPr>
          <w:p w:rsidR="00DB7D7A" w:rsidRPr="00510876" w:rsidRDefault="00DB7D7A" w:rsidP="00234D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D7A" w:rsidRPr="00510876" w:rsidRDefault="00DB7D7A" w:rsidP="00234D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D7A" w:rsidRPr="00510876" w:rsidRDefault="00907F3E" w:rsidP="00234D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исходные</w:t>
            </w:r>
          </w:p>
          <w:p w:rsidR="00907F3E" w:rsidRPr="00510876" w:rsidRDefault="00907F3E" w:rsidP="00234D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</w:t>
            </w:r>
          </w:p>
        </w:tc>
        <w:tc>
          <w:tcPr>
            <w:tcW w:w="6946" w:type="dxa"/>
            <w:gridSpan w:val="4"/>
          </w:tcPr>
          <w:p w:rsidR="00907F3E" w:rsidRPr="00510876" w:rsidRDefault="00907F3E" w:rsidP="00234D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показатели оценки эффективности</w:t>
            </w:r>
          </w:p>
        </w:tc>
      </w:tr>
      <w:tr w:rsidR="00DB7D7A" w:rsidRPr="00510876" w:rsidTr="00510876">
        <w:tc>
          <w:tcPr>
            <w:tcW w:w="594" w:type="dxa"/>
            <w:vMerge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DB7D7A" w:rsidRPr="00510876" w:rsidRDefault="00DB7D7A" w:rsidP="001C644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степень </w:t>
            </w:r>
            <w:r w:rsidR="001C6441">
              <w:rPr>
                <w:rFonts w:ascii="Times New Roman" w:hAnsi="Times New Roman" w:cs="Times New Roman"/>
                <w:sz w:val="26"/>
                <w:szCs w:val="26"/>
              </w:rPr>
              <w:t>охвата поселений</w:t>
            </w:r>
            <w:r w:rsidR="00510876"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   (СМР)</w:t>
            </w:r>
          </w:p>
        </w:tc>
        <w:tc>
          <w:tcPr>
            <w:tcW w:w="1926" w:type="dxa"/>
          </w:tcPr>
          <w:p w:rsidR="00DB7D7A" w:rsidRPr="00510876" w:rsidRDefault="00DB7D7A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степень соответствия фактически </w:t>
            </w:r>
          </w:p>
          <w:p w:rsidR="00907F3E" w:rsidRPr="00510876" w:rsidRDefault="00DB7D7A" w:rsidP="00510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затрат на реализацию программы </w:t>
            </w:r>
            <w:r w:rsidR="00510876" w:rsidRPr="005108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10876" w:rsidRPr="005108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0876" w:rsidRPr="00510876">
              <w:rPr>
                <w:rFonts w:ascii="Times New Roman" w:hAnsi="Times New Roman" w:cs="Times New Roman"/>
                <w:sz w:val="26"/>
                <w:szCs w:val="26"/>
              </w:rPr>
              <w:t>СУЗ)</w:t>
            </w:r>
          </w:p>
        </w:tc>
        <w:tc>
          <w:tcPr>
            <w:tcW w:w="1899" w:type="dxa"/>
          </w:tcPr>
          <w:p w:rsidR="00907F3E" w:rsidRPr="00510876" w:rsidRDefault="00DB7D7A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использования средств бюджета </w:t>
            </w:r>
            <w:r w:rsidR="00510876" w:rsidRPr="00510876">
              <w:rPr>
                <w:rFonts w:ascii="Times New Roman" w:hAnsi="Times New Roman" w:cs="Times New Roman"/>
                <w:sz w:val="26"/>
                <w:szCs w:val="26"/>
              </w:rPr>
              <w:t>(ЭИС)</w:t>
            </w:r>
          </w:p>
        </w:tc>
        <w:tc>
          <w:tcPr>
            <w:tcW w:w="1445" w:type="dxa"/>
          </w:tcPr>
          <w:p w:rsidR="00907F3E" w:rsidRPr="00510876" w:rsidRDefault="00907F3E" w:rsidP="00DB7D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7D7A" w:rsidRPr="00510876">
              <w:rPr>
                <w:rFonts w:ascii="Times New Roman" w:hAnsi="Times New Roman" w:cs="Times New Roman"/>
                <w:sz w:val="26"/>
                <w:szCs w:val="26"/>
              </w:rPr>
              <w:t>Д степень достижения планового значения</w:t>
            </w: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9" w:type="dxa"/>
          </w:tcPr>
          <w:p w:rsidR="00907F3E" w:rsidRPr="00510876" w:rsidRDefault="00907F3E" w:rsidP="001C644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C6441">
              <w:rPr>
                <w:rFonts w:ascii="Times New Roman" w:hAnsi="Times New Roman" w:cs="Times New Roman"/>
                <w:sz w:val="26"/>
                <w:szCs w:val="26"/>
              </w:rPr>
              <w:t>сельских поселений в районе</w:t>
            </w:r>
          </w:p>
        </w:tc>
        <w:tc>
          <w:tcPr>
            <w:tcW w:w="1676" w:type="dxa"/>
          </w:tcPr>
          <w:p w:rsidR="00907F3E" w:rsidRPr="00510876" w:rsidRDefault="001C6441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49" w:type="dxa"/>
          </w:tcPr>
          <w:p w:rsidR="00907F3E" w:rsidRPr="00510876" w:rsidRDefault="00907F3E" w:rsidP="001C644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C6441">
              <w:rPr>
                <w:rFonts w:ascii="Times New Roman" w:hAnsi="Times New Roman" w:cs="Times New Roman"/>
                <w:sz w:val="26"/>
                <w:szCs w:val="26"/>
              </w:rPr>
              <w:t>сельских поселений охваченных</w:t>
            </w:r>
          </w:p>
        </w:tc>
        <w:tc>
          <w:tcPr>
            <w:tcW w:w="1676" w:type="dxa"/>
          </w:tcPr>
          <w:p w:rsidR="00907F3E" w:rsidRPr="00510876" w:rsidRDefault="001C6441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расходы на реализацию программы в отчетном году 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477FF0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98270,8</w:t>
            </w: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плановые  (уточнённые) расходы на реализацию программы в отчетном году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477FF0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99780,8</w:t>
            </w: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9" w:type="dxa"/>
          </w:tcPr>
          <w:p w:rsid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</w:p>
          <w:p w:rsidR="00907F3E" w:rsidRPr="00510876" w:rsidRDefault="00907F3E" w:rsidP="00510876">
            <w:pPr>
              <w:ind w:right="1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9" w:type="dxa"/>
          </w:tcPr>
          <w:p w:rsidR="00510876" w:rsidRDefault="00907F3E" w:rsidP="003826D9">
            <w:pPr>
              <w:ind w:right="-33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степень </w:t>
            </w:r>
          </w:p>
          <w:p w:rsidR="00907F3E" w:rsidRPr="00510876" w:rsidRDefault="00907F3E" w:rsidP="003826D9">
            <w:pPr>
              <w:ind w:right="-33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запланированному уровню расходов 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DB7D7A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9" w:type="dxa"/>
          </w:tcPr>
          <w:p w:rsidR="00907F3E" w:rsidRPr="00510876" w:rsidRDefault="00DB7D7A" w:rsidP="00C447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плановое значение  показателя, характеризующего  цели и задачи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907F3E" w:rsidRPr="00510876" w:rsidRDefault="008B2AED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DB7D7A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49" w:type="dxa"/>
          </w:tcPr>
          <w:p w:rsidR="00907F3E" w:rsidRPr="00510876" w:rsidRDefault="00DD6FEF" w:rsidP="00C447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</w:t>
            </w:r>
            <w:r w:rsidR="00C44766" w:rsidRPr="00510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характеризующего цели и задачи муниципальной программы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</w:tcPr>
          <w:p w:rsidR="00907F3E" w:rsidRPr="00510876" w:rsidRDefault="008B2AED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D7A" w:rsidRPr="00510876" w:rsidTr="00510876">
        <w:tc>
          <w:tcPr>
            <w:tcW w:w="594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07F3E" w:rsidRPr="00510876" w:rsidRDefault="00DD6FEF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</w:p>
        </w:tc>
        <w:tc>
          <w:tcPr>
            <w:tcW w:w="1676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:rsidR="00907F3E" w:rsidRPr="001C6441" w:rsidRDefault="001C6441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&lt;1</w:t>
            </w:r>
          </w:p>
        </w:tc>
        <w:tc>
          <w:tcPr>
            <w:tcW w:w="1899" w:type="dxa"/>
          </w:tcPr>
          <w:p w:rsidR="00907F3E" w:rsidRPr="00510876" w:rsidRDefault="00907F3E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</w:tcPr>
          <w:p w:rsidR="00907F3E" w:rsidRPr="00510876" w:rsidRDefault="00DB7D7A" w:rsidP="00234D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34D39" w:rsidRPr="00510876" w:rsidRDefault="00234D39" w:rsidP="00234D3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34D39" w:rsidRDefault="00234D39" w:rsidP="00234D39"/>
    <w:p w:rsidR="00234D39" w:rsidRDefault="00234D39" w:rsidP="00234D39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D39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234D39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sz w:val="28"/>
          <w:szCs w:val="28"/>
        </w:rPr>
        <w:t>по финансам</w:t>
      </w:r>
    </w:p>
    <w:p w:rsidR="00234D39" w:rsidRDefault="00234D39" w:rsidP="00234D39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экономике,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234D39" w:rsidRDefault="00234D39" w:rsidP="00234D39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Увельского </w:t>
      </w:r>
    </w:p>
    <w:p w:rsidR="0002414B" w:rsidRDefault="00234D39" w:rsidP="00234D39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4D3CA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324C8">
        <w:rPr>
          <w:rFonts w:ascii="Times New Roman" w:hAnsi="Times New Roman" w:cs="Times New Roman"/>
          <w:sz w:val="28"/>
          <w:szCs w:val="28"/>
        </w:rPr>
        <w:t>А.В.Кузьмичева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4D39" w:rsidRPr="00234D39" w:rsidRDefault="00234D39" w:rsidP="00234D39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234D39" w:rsidRPr="00234D39" w:rsidSect="00A97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DE4"/>
    <w:multiLevelType w:val="hybridMultilevel"/>
    <w:tmpl w:val="156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6817"/>
    <w:multiLevelType w:val="hybridMultilevel"/>
    <w:tmpl w:val="6916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972"/>
    <w:rsid w:val="0002414B"/>
    <w:rsid w:val="000405A8"/>
    <w:rsid w:val="001138DF"/>
    <w:rsid w:val="001C6441"/>
    <w:rsid w:val="001D7162"/>
    <w:rsid w:val="00234D39"/>
    <w:rsid w:val="002D070C"/>
    <w:rsid w:val="003367E5"/>
    <w:rsid w:val="00346093"/>
    <w:rsid w:val="003826D9"/>
    <w:rsid w:val="00477FF0"/>
    <w:rsid w:val="00481A79"/>
    <w:rsid w:val="00492574"/>
    <w:rsid w:val="004B0C64"/>
    <w:rsid w:val="004D3CA1"/>
    <w:rsid w:val="00510876"/>
    <w:rsid w:val="00564BF8"/>
    <w:rsid w:val="00576CF8"/>
    <w:rsid w:val="005C1CD9"/>
    <w:rsid w:val="005D185D"/>
    <w:rsid w:val="00602D21"/>
    <w:rsid w:val="00624708"/>
    <w:rsid w:val="00677972"/>
    <w:rsid w:val="00755082"/>
    <w:rsid w:val="00771F3F"/>
    <w:rsid w:val="00784F98"/>
    <w:rsid w:val="00830814"/>
    <w:rsid w:val="00865CE1"/>
    <w:rsid w:val="008903B9"/>
    <w:rsid w:val="008B2AED"/>
    <w:rsid w:val="00907F3E"/>
    <w:rsid w:val="00A3722F"/>
    <w:rsid w:val="00A97D20"/>
    <w:rsid w:val="00AD5975"/>
    <w:rsid w:val="00B16C6B"/>
    <w:rsid w:val="00B41B14"/>
    <w:rsid w:val="00B7253A"/>
    <w:rsid w:val="00BB6E21"/>
    <w:rsid w:val="00C21D45"/>
    <w:rsid w:val="00C44766"/>
    <w:rsid w:val="00C66A4B"/>
    <w:rsid w:val="00D108C3"/>
    <w:rsid w:val="00D67E6D"/>
    <w:rsid w:val="00DB7D7A"/>
    <w:rsid w:val="00DD54B6"/>
    <w:rsid w:val="00DD6FEF"/>
    <w:rsid w:val="00DE0702"/>
    <w:rsid w:val="00E41F42"/>
    <w:rsid w:val="00E53AB4"/>
    <w:rsid w:val="00EE0009"/>
    <w:rsid w:val="00F30F57"/>
    <w:rsid w:val="00F324C8"/>
    <w:rsid w:val="00F3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37</cp:revision>
  <dcterms:created xsi:type="dcterms:W3CDTF">2016-07-25T11:36:00Z</dcterms:created>
  <dcterms:modified xsi:type="dcterms:W3CDTF">2020-02-18T06:51:00Z</dcterms:modified>
</cp:coreProperties>
</file>